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9026.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3"/>
        <w:gridCol w:w="4513"/>
        <w:tblGridChange w:id="0">
          <w:tblGrid>
            <w:gridCol w:w="4513"/>
            <w:gridCol w:w="4513"/>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b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the Commencement Date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Contract Period or Contact Period of the last Call-Off Contract, the Supplier shall deliver to CCS evidence of:</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MSXLYF5IuzVP4V440gMSEwcKZw==">AMUW2mV9zRPkqh9Wlm4fjC6m9WwCrhScrN2ddeg99BE5EJnQVN0WhfmiduULQlDTSyT9hYYSO8AAR8kJLroZjh31NDzER+gMQrbOm97LjSZvq3BIG2Q6D13WZJNIJdISjfBjbWUvhychF+4o0xtGLyxMOe620LpX8iGkJCkXRTubNpmH5yfMzz0=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